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663B" w14:textId="032CAFF4" w:rsidR="00F60195" w:rsidRDefault="001147ED">
      <w:pPr>
        <w:rPr>
          <w:rFonts w:ascii="Tahoma-Bold" w:hAnsi="Tahoma-Bold" w:cs="Tahoma-Bold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Circular of the Ministry of Health and Welfare</w:t>
      </w:r>
      <w:r>
        <w:rPr>
          <w:rFonts w:ascii="Tahoma" w:hAnsi="Tahoma" w:cs="Tahoma"/>
          <w:b/>
          <w:bCs/>
          <w:lang w:val="en-US"/>
        </w:rPr>
        <w:t>: HIV</w:t>
      </w:r>
      <w:r w:rsidR="002A17DD">
        <w:rPr>
          <w:rFonts w:ascii="Tahoma" w:hAnsi="Tahoma" w:cs="Tahoma"/>
          <w:b/>
          <w:bCs/>
          <w:lang w:val="en-US"/>
        </w:rPr>
        <w:t>-</w:t>
      </w:r>
      <w:bookmarkStart w:id="0" w:name="_GoBack"/>
      <w:bookmarkEnd w:id="0"/>
      <w:r>
        <w:rPr>
          <w:rFonts w:ascii="Tahoma" w:hAnsi="Tahoma" w:cs="Tahoma"/>
          <w:b/>
          <w:bCs/>
          <w:lang w:val="en-US"/>
        </w:rPr>
        <w:t>AIDS</w:t>
      </w:r>
      <w:r w:rsidRPr="00F60195">
        <w:rPr>
          <w:rFonts w:ascii="Tahoma-Bold" w:hAnsi="Tahoma-Bold" w:cs="Tahoma-Bold"/>
          <w:b/>
          <w:bCs/>
          <w:lang w:val="en-US"/>
        </w:rPr>
        <w:t xml:space="preserve"> </w:t>
      </w:r>
      <w:r w:rsidR="00F60195" w:rsidRPr="00F60195">
        <w:rPr>
          <w:rFonts w:ascii="Tahoma-Bold" w:hAnsi="Tahoma-Bold" w:cs="Tahoma-Bold"/>
          <w:b/>
          <w:bCs/>
          <w:lang w:val="en-US"/>
        </w:rPr>
        <w:t>Public Health and Human Rights</w:t>
      </w:r>
      <w:r w:rsidR="006B544C" w:rsidRPr="006B544C">
        <w:rPr>
          <w:rFonts w:ascii="Tahoma" w:hAnsi="Tahoma" w:cs="Tahoma"/>
          <w:b/>
          <w:bCs/>
          <w:lang w:val="en-US"/>
        </w:rPr>
        <w:t xml:space="preserve"> </w:t>
      </w:r>
    </w:p>
    <w:p w14:paraId="58F1CAC3" w14:textId="77777777" w:rsidR="006B544C" w:rsidRPr="006B544C" w:rsidRDefault="006B544C" w:rsidP="006B544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21. </w:t>
      </w:r>
      <w:r>
        <w:rPr>
          <w:rFonts w:ascii="Tahoma" w:hAnsi="Tahoma" w:cs="Tahoma"/>
          <w:lang w:val="en-US"/>
        </w:rPr>
        <w:t>All have an obligation to protect themselves and others from infection</w:t>
      </w:r>
    </w:p>
    <w:p w14:paraId="5A5CABC5" w14:textId="157B565A" w:rsidR="002E5EE2" w:rsidRDefault="00A23325">
      <w:pPr>
        <w:rPr>
          <w:rFonts w:ascii="Tahoma" w:hAnsi="Tahoma" w:cs="Tahoma"/>
          <w:lang w:val="en-US"/>
        </w:rPr>
      </w:pPr>
      <w:r w:rsidRPr="00A23325">
        <w:rPr>
          <w:rFonts w:ascii="Tahoma-Bold" w:hAnsi="Tahoma-Bold" w:cs="Tahoma-Bold"/>
          <w:b/>
          <w:bCs/>
          <w:lang w:val="en-US"/>
        </w:rPr>
        <w:t xml:space="preserve">103. </w:t>
      </w:r>
      <w:r w:rsidR="00C7065A">
        <w:rPr>
          <w:rFonts w:ascii="Tahoma" w:hAnsi="Tahoma" w:cs="Tahoma"/>
          <w:lang w:val="en-US"/>
        </w:rPr>
        <w:t>Neither t</w:t>
      </w:r>
      <w:r>
        <w:rPr>
          <w:rFonts w:ascii="Tahoma" w:hAnsi="Tahoma" w:cs="Tahoma"/>
          <w:lang w:val="en-US"/>
        </w:rPr>
        <w:t xml:space="preserve">he doctor </w:t>
      </w:r>
      <w:r w:rsidR="00C7065A"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lang w:val="en-US"/>
        </w:rPr>
        <w:t xml:space="preserve">or anyone else has </w:t>
      </w:r>
      <w:r w:rsidR="00C7065A">
        <w:rPr>
          <w:rFonts w:ascii="Tahoma" w:hAnsi="Tahoma" w:cs="Tahoma"/>
          <w:lang w:val="en-US"/>
        </w:rPr>
        <w:t>the</w:t>
      </w:r>
      <w:r>
        <w:rPr>
          <w:rFonts w:ascii="Tahoma" w:hAnsi="Tahoma" w:cs="Tahoma"/>
          <w:lang w:val="en-US"/>
        </w:rPr>
        <w:t xml:space="preserve"> right to </w:t>
      </w:r>
      <w:r w:rsidR="0099329A">
        <w:rPr>
          <w:rFonts w:ascii="Tahoma" w:hAnsi="Tahoma" w:cs="Tahoma"/>
          <w:lang w:val="en-US"/>
        </w:rPr>
        <w:t>announce</w:t>
      </w:r>
      <w:r>
        <w:rPr>
          <w:rFonts w:ascii="Tahoma" w:hAnsi="Tahoma" w:cs="Tahoma"/>
          <w:lang w:val="en-US"/>
        </w:rPr>
        <w:t xml:space="preserve"> the HIV-positive person</w:t>
      </w:r>
      <w:r w:rsidR="0099329A">
        <w:rPr>
          <w:rFonts w:ascii="Tahoma" w:hAnsi="Tahoma" w:cs="Tahoma"/>
          <w:lang w:val="en-US"/>
        </w:rPr>
        <w:t>’s</w:t>
      </w:r>
      <w:r>
        <w:rPr>
          <w:rFonts w:ascii="Tahoma" w:hAnsi="Tahoma" w:cs="Tahoma"/>
          <w:lang w:val="en-US"/>
        </w:rPr>
        <w:t xml:space="preserve"> </w:t>
      </w:r>
      <w:r w:rsidR="0099329A">
        <w:rPr>
          <w:rFonts w:ascii="Tahoma" w:hAnsi="Tahoma" w:cs="Tahoma"/>
          <w:lang w:val="en-US"/>
        </w:rPr>
        <w:t xml:space="preserve">health condition </w:t>
      </w:r>
      <w:r>
        <w:rPr>
          <w:rFonts w:ascii="Tahoma" w:hAnsi="Tahoma" w:cs="Tahoma"/>
          <w:lang w:val="en-US"/>
        </w:rPr>
        <w:t xml:space="preserve">to his or her spouse or sexual partner, in order to protect them from </w:t>
      </w:r>
      <w:r w:rsidR="00C7065A">
        <w:rPr>
          <w:rFonts w:ascii="Tahoma" w:hAnsi="Tahoma" w:cs="Tahoma"/>
          <w:lang w:val="en-US"/>
        </w:rPr>
        <w:t xml:space="preserve">a </w:t>
      </w:r>
      <w:r>
        <w:rPr>
          <w:rFonts w:ascii="Tahoma" w:hAnsi="Tahoma" w:cs="Tahoma"/>
          <w:lang w:val="en-US"/>
        </w:rPr>
        <w:t xml:space="preserve">potential infection. The HIV-positive person is asked to do so </w:t>
      </w:r>
      <w:r w:rsidR="0099329A">
        <w:rPr>
          <w:rFonts w:ascii="Tahoma" w:hAnsi="Tahoma" w:cs="Tahoma"/>
          <w:lang w:val="en-US"/>
        </w:rPr>
        <w:t xml:space="preserve">himself/herself, </w:t>
      </w:r>
      <w:r>
        <w:rPr>
          <w:rFonts w:ascii="Tahoma" w:hAnsi="Tahoma" w:cs="Tahoma"/>
          <w:lang w:val="en-US"/>
        </w:rPr>
        <w:t>with the provision of psychosocial support, in order that the spouse</w:t>
      </w:r>
      <w:r w:rsidR="006E0792">
        <w:rPr>
          <w:rFonts w:ascii="Tahoma" w:hAnsi="Tahoma" w:cs="Tahoma"/>
          <w:lang w:val="en-US"/>
        </w:rPr>
        <w:t xml:space="preserve"> or partner</w:t>
      </w:r>
      <w:r>
        <w:rPr>
          <w:rFonts w:ascii="Tahoma" w:hAnsi="Tahoma" w:cs="Tahoma"/>
          <w:lang w:val="en-US"/>
        </w:rPr>
        <w:t xml:space="preserve"> is also protected.</w:t>
      </w:r>
    </w:p>
    <w:p w14:paraId="303686B9" w14:textId="745630ED" w:rsidR="006E0792" w:rsidRDefault="006E0792">
      <w:pPr>
        <w:rPr>
          <w:rFonts w:ascii="Tahoma" w:hAnsi="Tahoma" w:cs="Tahoma"/>
          <w:lang w:val="en-US"/>
        </w:rPr>
      </w:pPr>
      <w:r>
        <w:rPr>
          <w:rFonts w:ascii="Tahoma-Bold" w:hAnsi="Tahoma-Bold" w:cs="Tahoma-Bold"/>
          <w:b/>
          <w:bCs/>
          <w:lang w:val="en-US"/>
        </w:rPr>
        <w:t>104</w:t>
      </w:r>
      <w:r w:rsidRPr="00A23325">
        <w:rPr>
          <w:rFonts w:ascii="Tahoma-Bold" w:hAnsi="Tahoma-Bold" w:cs="Tahoma-Bold"/>
          <w:b/>
          <w:bCs/>
          <w:lang w:val="en-US"/>
        </w:rPr>
        <w:t xml:space="preserve">. </w:t>
      </w:r>
      <w:r>
        <w:rPr>
          <w:rFonts w:ascii="Tahoma" w:hAnsi="Tahoma" w:cs="Tahoma"/>
          <w:lang w:val="en-US"/>
        </w:rPr>
        <w:t>If the HIV-positive person is not persuaded to announce his/her</w:t>
      </w:r>
      <w:r w:rsidR="000814C3">
        <w:rPr>
          <w:rFonts w:ascii="Tahoma" w:hAnsi="Tahoma" w:cs="Tahoma"/>
          <w:lang w:val="en-US"/>
        </w:rPr>
        <w:t xml:space="preserve"> HIV virus</w:t>
      </w:r>
      <w:r>
        <w:rPr>
          <w:rFonts w:ascii="Tahoma" w:hAnsi="Tahoma" w:cs="Tahoma"/>
          <w:lang w:val="en-US"/>
        </w:rPr>
        <w:t xml:space="preserve"> infection  to his or her spouse or sexual partner, then, after the methods of persuasion </w:t>
      </w:r>
      <w:r w:rsidR="000814C3">
        <w:rPr>
          <w:rFonts w:ascii="Tahoma" w:hAnsi="Tahoma" w:cs="Tahoma"/>
          <w:lang w:val="en-US"/>
        </w:rPr>
        <w:t xml:space="preserve">have </w:t>
      </w:r>
      <w:r>
        <w:rPr>
          <w:rFonts w:ascii="Tahoma" w:hAnsi="Tahoma" w:cs="Tahoma"/>
          <w:lang w:val="en-US"/>
        </w:rPr>
        <w:t>run out, the doctor resorts to the legal committee of th</w:t>
      </w:r>
      <w:r w:rsidR="000814C3">
        <w:rPr>
          <w:rFonts w:ascii="Tahoma" w:hAnsi="Tahoma" w:cs="Tahoma"/>
          <w:lang w:val="en-US"/>
        </w:rPr>
        <w:t>e Centre for Disease Control, or</w:t>
      </w:r>
      <w:r>
        <w:rPr>
          <w:rFonts w:ascii="Tahoma" w:hAnsi="Tahoma" w:cs="Tahoma"/>
          <w:lang w:val="en-US"/>
        </w:rPr>
        <w:t xml:space="preserve"> the</w:t>
      </w:r>
      <w:r w:rsidR="000F71E2">
        <w:rPr>
          <w:rFonts w:ascii="Tahoma" w:hAnsi="Tahoma" w:cs="Tahoma"/>
          <w:lang w:val="en-US"/>
        </w:rPr>
        <w:t xml:space="preserve"> statutory</w:t>
      </w:r>
      <w:r>
        <w:rPr>
          <w:rFonts w:ascii="Tahoma" w:hAnsi="Tahoma" w:cs="Tahoma"/>
          <w:lang w:val="en-US"/>
        </w:rPr>
        <w:t xml:space="preserve"> ethics committees</w:t>
      </w:r>
      <w:r w:rsidR="000F71E2">
        <w:rPr>
          <w:rFonts w:ascii="Tahoma" w:hAnsi="Tahoma" w:cs="Tahoma"/>
          <w:lang w:val="en-US"/>
        </w:rPr>
        <w:t xml:space="preserve"> or to the hearing prosecutor, who </w:t>
      </w:r>
      <w:r w:rsidR="000814C3">
        <w:rPr>
          <w:rFonts w:ascii="Tahoma" w:hAnsi="Tahoma" w:cs="Tahoma"/>
          <w:lang w:val="en-US"/>
        </w:rPr>
        <w:t xml:space="preserve">may </w:t>
      </w:r>
      <w:r w:rsidR="000F71E2">
        <w:rPr>
          <w:rFonts w:ascii="Tahoma" w:hAnsi="Tahoma" w:cs="Tahoma"/>
          <w:lang w:val="en-US"/>
        </w:rPr>
        <w:t xml:space="preserve">grant the permission </w:t>
      </w:r>
      <w:r w:rsidR="000814C3">
        <w:rPr>
          <w:rFonts w:ascii="Tahoma" w:hAnsi="Tahoma" w:cs="Tahoma"/>
          <w:lang w:val="en-US"/>
        </w:rPr>
        <w:t>of</w:t>
      </w:r>
      <w:r w:rsidR="000F71E2">
        <w:rPr>
          <w:rFonts w:ascii="Tahoma" w:hAnsi="Tahoma" w:cs="Tahoma"/>
          <w:lang w:val="en-US"/>
        </w:rPr>
        <w:t xml:space="preserve"> the announcement if the necessary conditions are satisfied.</w:t>
      </w:r>
    </w:p>
    <w:p w14:paraId="299FE2EB" w14:textId="75D11DB8" w:rsidR="006B544C" w:rsidRDefault="006B544C">
      <w:pPr>
        <w:rPr>
          <w:rFonts w:ascii="Tahoma" w:hAnsi="Tahoma" w:cs="Tahoma"/>
          <w:lang w:val="en-US"/>
        </w:rPr>
      </w:pPr>
    </w:p>
    <w:p w14:paraId="208FD0F6" w14:textId="7B8CFFDC" w:rsidR="006B544C" w:rsidRDefault="006B544C" w:rsidP="006B544C">
      <w:pPr>
        <w:rPr>
          <w:rFonts w:ascii="Tahoma" w:hAnsi="Tahoma" w:cs="Tahoma"/>
          <w:lang w:val="en-US"/>
        </w:rPr>
      </w:pPr>
    </w:p>
    <w:p w14:paraId="2EB7703A" w14:textId="77777777" w:rsidR="006B544C" w:rsidRPr="006B544C" w:rsidRDefault="006B544C">
      <w:pPr>
        <w:rPr>
          <w:rFonts w:ascii="Tahoma" w:hAnsi="Tahoma" w:cs="Tahoma"/>
          <w:lang w:val="en-US"/>
        </w:rPr>
      </w:pPr>
    </w:p>
    <w:sectPr w:rsidR="006B544C" w:rsidRPr="006B5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D"/>
    <w:rsid w:val="000814C3"/>
    <w:rsid w:val="000F71E2"/>
    <w:rsid w:val="001147ED"/>
    <w:rsid w:val="002A17DD"/>
    <w:rsid w:val="002E5EE2"/>
    <w:rsid w:val="002F7CCD"/>
    <w:rsid w:val="006B544C"/>
    <w:rsid w:val="006E0792"/>
    <w:rsid w:val="0099329A"/>
    <w:rsid w:val="00A23325"/>
    <w:rsid w:val="00B23E84"/>
    <w:rsid w:val="00C7065A"/>
    <w:rsid w:val="00DC5158"/>
    <w:rsid w:val="00F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07E66"/>
  <w15:docId w15:val="{4A5E8ACF-9F2B-4F28-BC47-E06B8AB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58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44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Νίκη Καραγιάννη</dc:creator>
  <cp:keywords/>
  <dc:description/>
  <cp:lastModifiedBy>UCD</cp:lastModifiedBy>
  <cp:revision>5</cp:revision>
  <dcterms:created xsi:type="dcterms:W3CDTF">2019-07-02T13:45:00Z</dcterms:created>
  <dcterms:modified xsi:type="dcterms:W3CDTF">2019-07-02T13:57:00Z</dcterms:modified>
</cp:coreProperties>
</file>